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r>
        <w:rPr>
          <w:rFonts w:hint="eastAsia" w:ascii="黑体" w:hAnsi="黑体" w:eastAsia="黑体"/>
          <w:sz w:val="32"/>
          <w:szCs w:val="32"/>
        </w:rPr>
        <w:t>附件</w:t>
      </w:r>
    </w:p>
    <w:p>
      <w:pPr>
        <w:spacing w:line="560" w:lineRule="exact"/>
        <w:jc w:val="center"/>
        <w:rPr>
          <w:rFonts w:ascii="华文中宋" w:hAnsi="华文中宋" w:eastAsia="华文中宋"/>
          <w:sz w:val="44"/>
          <w:szCs w:val="44"/>
        </w:rPr>
      </w:pPr>
      <w:r>
        <w:rPr>
          <w:rFonts w:hint="eastAsia" w:ascii="华文中宋" w:hAnsi="华文中宋" w:eastAsia="华文中宋"/>
          <w:sz w:val="44"/>
          <w:szCs w:val="44"/>
        </w:rPr>
        <w:t>2021年度承德市重大科技成果转化专项</w:t>
      </w:r>
    </w:p>
    <w:p>
      <w:pPr>
        <w:spacing w:line="560" w:lineRule="exact"/>
        <w:jc w:val="center"/>
        <w:rPr>
          <w:rFonts w:ascii="华文中宋" w:hAnsi="华文中宋" w:eastAsia="华文中宋"/>
          <w:sz w:val="44"/>
          <w:szCs w:val="44"/>
        </w:rPr>
      </w:pPr>
      <w:r>
        <w:rPr>
          <w:rFonts w:hint="eastAsia" w:ascii="华文中宋" w:hAnsi="华文中宋" w:eastAsia="华文中宋"/>
          <w:sz w:val="44"/>
          <w:szCs w:val="44"/>
        </w:rPr>
        <w:t>项目申报指南</w:t>
      </w:r>
    </w:p>
    <w:p>
      <w:pPr>
        <w:spacing w:line="560" w:lineRule="exact"/>
        <w:jc w:val="center"/>
        <w:rPr>
          <w:rFonts w:ascii="华文中宋" w:hAnsi="华文中宋" w:eastAsia="华文中宋"/>
          <w:sz w:val="44"/>
          <w:szCs w:val="44"/>
        </w:rPr>
      </w:pPr>
    </w:p>
    <w:p>
      <w:pPr>
        <w:spacing w:line="560" w:lineRule="exact"/>
        <w:ind w:firstLine="640" w:firstLineChars="200"/>
        <w:rPr>
          <w:rFonts w:ascii="黑体" w:hAnsi="黑体" w:eastAsia="黑体"/>
          <w:sz w:val="32"/>
          <w:szCs w:val="48"/>
        </w:rPr>
      </w:pPr>
      <w:r>
        <w:rPr>
          <w:rFonts w:hint="eastAsia" w:ascii="黑体" w:hAnsi="黑体" w:eastAsia="黑体"/>
          <w:sz w:val="32"/>
          <w:szCs w:val="48"/>
        </w:rPr>
        <w:t>一、总体安排</w:t>
      </w:r>
    </w:p>
    <w:p>
      <w:pPr>
        <w:pStyle w:val="12"/>
        <w:widowControl/>
        <w:spacing w:line="560" w:lineRule="exact"/>
        <w:ind w:firstLine="640" w:firstLineChars="200"/>
        <w:rPr>
          <w:rFonts w:hint="default" w:hAnsi="仿宋_GB2312"/>
        </w:rPr>
      </w:pPr>
      <w:r>
        <w:rPr>
          <w:rFonts w:hAnsi="仿宋_GB2312"/>
        </w:rPr>
        <w:t>2021年承德市重大科技成果转化专项聚焦市委市政府重大战略部署和我市经济社会发展需求，围绕我市3+3主导产业布局，瞄准区域产业发展定位和目标，立足我市大数据及新一代信息产业、高端装备制造、高性能新材料、新能源、节能环保、现代农业等重点产业，支持正处于中试熟化、试生产或产业化初始阶段的高新技术成果进行转化、产品化和规模化，培育市场优势显著的目标产品、提升相关产业核心竞争力，推动对改善民生具有重大意义的科技成果转化应用，优先支持京津科技成果在我市落地转化。</w:t>
      </w:r>
    </w:p>
    <w:p>
      <w:pPr>
        <w:tabs>
          <w:tab w:val="left" w:pos="3119"/>
        </w:tabs>
        <w:spacing w:line="560" w:lineRule="exact"/>
        <w:ind w:firstLine="640" w:firstLineChars="200"/>
        <w:rPr>
          <w:rFonts w:ascii="黑体" w:hAnsi="黑体" w:eastAsia="黑体"/>
          <w:sz w:val="32"/>
          <w:szCs w:val="48"/>
        </w:rPr>
      </w:pPr>
      <w:r>
        <w:rPr>
          <w:rFonts w:hint="eastAsia" w:ascii="黑体" w:hAnsi="黑体" w:eastAsia="黑体"/>
          <w:sz w:val="32"/>
          <w:szCs w:val="48"/>
        </w:rPr>
        <w:t>二、支持重点</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优先主题一：大数据及新一代信息产业（20211401）</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重点支持</w:t>
      </w:r>
      <w:r>
        <w:rPr>
          <w:rFonts w:hint="eastAsia" w:ascii="仿宋_GB2312" w:hAnsi="仿宋" w:eastAsia="仿宋_GB2312" w:cs="宋体"/>
          <w:bCs/>
          <w:kern w:val="0"/>
          <w:sz w:val="32"/>
          <w:szCs w:val="32"/>
        </w:rPr>
        <w:t>云计算、大数据挖掘、数据分析及安全技术开发与应用，大数据节能降耗技术，“互联网+”</w:t>
      </w:r>
      <w:r>
        <w:rPr>
          <w:rFonts w:hint="eastAsia" w:ascii="仿宋_GB2312" w:hAnsi="仿宋_GB2312" w:eastAsia="仿宋_GB2312" w:cs="仿宋_GB2312"/>
          <w:sz w:val="32"/>
          <w:szCs w:val="32"/>
        </w:rPr>
        <w:t>产业化开发及应用。</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优先主题二：高端装备制造产业（20211402）</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重点支持</w:t>
      </w:r>
      <w:r>
        <w:rPr>
          <w:rFonts w:hint="eastAsia" w:ascii="仿宋_GB2312" w:hAnsi="仿宋" w:eastAsia="仿宋_GB2312" w:cs="宋体"/>
          <w:bCs/>
          <w:kern w:val="0"/>
          <w:sz w:val="32"/>
          <w:szCs w:val="32"/>
        </w:rPr>
        <w:t>机械基础件、通用机械、专用机械和新型机械</w:t>
      </w:r>
      <w:bookmarkStart w:id="0" w:name="_Toc161804679"/>
      <w:bookmarkStart w:id="1" w:name="_Toc161805255"/>
      <w:bookmarkStart w:id="2" w:name="_Toc161805474"/>
      <w:bookmarkStart w:id="3" w:name="_Toc161805692"/>
      <w:bookmarkStart w:id="4" w:name="_Toc161808723"/>
      <w:bookmarkStart w:id="5" w:name="_Toc161815894"/>
      <w:bookmarkStart w:id="6" w:name="_Toc161816824"/>
      <w:bookmarkStart w:id="7" w:name="_Toc161809007"/>
      <w:bookmarkStart w:id="8" w:name="_Toc161818724"/>
      <w:bookmarkStart w:id="9" w:name="_Toc161819202"/>
      <w:bookmarkStart w:id="10" w:name="_Toc161825127"/>
      <w:bookmarkStart w:id="11" w:name="_Toc161825518"/>
      <w:bookmarkStart w:id="12" w:name="_Toc162079207"/>
      <w:bookmarkStart w:id="13" w:name="_Toc162079455"/>
      <w:bookmarkStart w:id="14" w:name="_Toc162083295"/>
      <w:bookmarkStart w:id="15" w:name="_Toc166642114"/>
      <w:r>
        <w:rPr>
          <w:rFonts w:hint="eastAsia" w:ascii="仿宋_GB2312" w:hAnsi="仿宋" w:eastAsia="仿宋_GB2312" w:cs="宋体"/>
          <w:bCs/>
          <w:kern w:val="0"/>
          <w:sz w:val="32"/>
          <w:szCs w:val="32"/>
        </w:rPr>
        <w:t>；电力系统信息化与自动化</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Fonts w:hint="eastAsia" w:ascii="仿宋_GB2312" w:hAnsi="仿宋" w:eastAsia="仿宋_GB2312" w:cs="宋体"/>
          <w:bCs/>
          <w:kern w:val="0"/>
          <w:sz w:val="32"/>
          <w:szCs w:val="32"/>
        </w:rPr>
        <w:t>技术、工业生产过程控制系统</w:t>
      </w:r>
      <w:bookmarkStart w:id="16" w:name="_Toc161804656"/>
      <w:bookmarkStart w:id="17" w:name="_Toc161805232"/>
      <w:bookmarkStart w:id="18" w:name="_Toc161805451"/>
      <w:bookmarkStart w:id="19" w:name="_Toc161805669"/>
      <w:bookmarkStart w:id="20" w:name="_Toc161808700"/>
      <w:bookmarkStart w:id="21" w:name="_Toc161808984"/>
      <w:bookmarkStart w:id="22" w:name="_Toc161815871"/>
      <w:bookmarkStart w:id="23" w:name="_Toc161816801"/>
      <w:bookmarkStart w:id="24" w:name="_Toc161818701"/>
      <w:bookmarkStart w:id="25" w:name="_Toc161819179"/>
      <w:bookmarkStart w:id="26" w:name="_Toc161825104"/>
      <w:bookmarkStart w:id="27" w:name="_Toc161825495"/>
      <w:bookmarkStart w:id="28" w:name="_Toc162079184"/>
      <w:bookmarkStart w:id="29" w:name="_Toc162079432"/>
      <w:bookmarkStart w:id="30" w:name="_Toc162083272"/>
      <w:bookmarkStart w:id="31" w:name="_Toc166642090"/>
      <w:r>
        <w:rPr>
          <w:rFonts w:hint="eastAsia" w:ascii="仿宋_GB2312" w:hAnsi="仿宋" w:eastAsia="仿宋_GB2312" w:cs="宋体"/>
          <w:bCs/>
          <w:kern w:val="0"/>
          <w:sz w:val="32"/>
          <w:szCs w:val="32"/>
        </w:rPr>
        <w:t>、</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Start w:id="32" w:name="_Toc161804657"/>
      <w:bookmarkStart w:id="33" w:name="_Toc161805233"/>
      <w:bookmarkStart w:id="34" w:name="_Toc161805452"/>
      <w:bookmarkStart w:id="35" w:name="_Toc161805670"/>
      <w:bookmarkStart w:id="36" w:name="_Toc161808701"/>
      <w:bookmarkStart w:id="37" w:name="_Toc161808985"/>
      <w:bookmarkStart w:id="38" w:name="_Toc161815872"/>
      <w:bookmarkStart w:id="39" w:name="_Toc161816802"/>
      <w:bookmarkStart w:id="40" w:name="_Toc161818702"/>
      <w:bookmarkStart w:id="41" w:name="_Toc161819180"/>
      <w:bookmarkStart w:id="42" w:name="_Toc161825105"/>
      <w:bookmarkStart w:id="43" w:name="_Toc161825496"/>
      <w:bookmarkStart w:id="44" w:name="_Toc162079185"/>
      <w:bookmarkStart w:id="45" w:name="_Toc162079433"/>
      <w:bookmarkStart w:id="46" w:name="_Toc162083273"/>
      <w:bookmarkStart w:id="47" w:name="_Toc166642091"/>
      <w:r>
        <w:rPr>
          <w:rFonts w:hint="eastAsia" w:ascii="仿宋_GB2312" w:hAnsi="仿宋" w:eastAsia="仿宋_GB2312" w:cs="宋体"/>
          <w:bCs/>
          <w:kern w:val="0"/>
          <w:sz w:val="32"/>
          <w:szCs w:val="32"/>
        </w:rPr>
        <w:t>新型自动化仪器仪表</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Fonts w:hint="eastAsia" w:ascii="仿宋_GB2312" w:hAnsi="仿宋" w:eastAsia="仿宋_GB2312" w:cs="宋体"/>
          <w:bCs/>
          <w:kern w:val="0"/>
          <w:sz w:val="32"/>
          <w:szCs w:val="32"/>
        </w:rPr>
        <w:t>技术</w:t>
      </w:r>
      <w:bookmarkStart w:id="48" w:name="_Toc162079187"/>
      <w:bookmarkStart w:id="49" w:name="_Toc161816804"/>
      <w:bookmarkStart w:id="50" w:name="_Toc166642093"/>
      <w:bookmarkStart w:id="51" w:name="_Toc162083275"/>
      <w:bookmarkStart w:id="52" w:name="_Toc162079435"/>
      <w:bookmarkStart w:id="53" w:name="_Toc161825107"/>
      <w:bookmarkStart w:id="54" w:name="_Toc161819182"/>
      <w:bookmarkStart w:id="55" w:name="_Toc161818704"/>
      <w:bookmarkStart w:id="56" w:name="_Toc161825498"/>
      <w:bookmarkStart w:id="57" w:name="_Toc161804659"/>
      <w:bookmarkStart w:id="58" w:name="_Toc161805235"/>
      <w:bookmarkStart w:id="59" w:name="_Toc161805454"/>
      <w:bookmarkStart w:id="60" w:name="_Toc161805672"/>
      <w:bookmarkStart w:id="61" w:name="_Toc161808703"/>
      <w:bookmarkStart w:id="62" w:name="_Toc161808987"/>
      <w:bookmarkStart w:id="63" w:name="_Toc161815874"/>
      <w:r>
        <w:rPr>
          <w:rFonts w:hint="eastAsia" w:ascii="仿宋_GB2312" w:hAnsi="仿宋" w:eastAsia="仿宋_GB2312" w:cs="宋体"/>
          <w:bCs/>
          <w:kern w:val="0"/>
          <w:sz w:val="32"/>
          <w:szCs w:val="32"/>
        </w:rPr>
        <w:t>、新型传感器</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Fonts w:hint="eastAsia" w:ascii="仿宋_GB2312" w:hAnsi="仿宋" w:eastAsia="仿宋_GB2312" w:cs="宋体"/>
          <w:bCs/>
          <w:kern w:val="0"/>
          <w:sz w:val="32"/>
          <w:szCs w:val="32"/>
        </w:rPr>
        <w:t>技术</w:t>
      </w:r>
      <w:r>
        <w:rPr>
          <w:rFonts w:hint="eastAsia" w:ascii="仿宋_GB2312" w:hAnsi="仿宋_GB2312" w:eastAsia="仿宋_GB2312" w:cs="仿宋_GB2312"/>
          <w:sz w:val="32"/>
          <w:szCs w:val="32"/>
        </w:rPr>
        <w:t>等产业化开发及应用。</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优先主题三：高性能新材料产业（20211403）</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重点支持</w:t>
      </w:r>
      <w:r>
        <w:rPr>
          <w:rFonts w:hint="eastAsia" w:ascii="仿宋_GB2312" w:hAnsi="仿宋" w:eastAsia="仿宋_GB2312" w:cs="宋体"/>
          <w:bCs/>
          <w:kern w:val="0"/>
          <w:sz w:val="32"/>
          <w:szCs w:val="32"/>
        </w:rPr>
        <w:t>高品质含钒新钢种生产关键技术及装备、高端粉末冶金原材料制备技术、合金制造技术；无机非金属材料、新型高分子功能材料的制备及应用技术</w:t>
      </w:r>
      <w:r>
        <w:rPr>
          <w:rFonts w:hint="eastAsia" w:ascii="仿宋_GB2312" w:hAnsi="仿宋_GB2312" w:eastAsia="仿宋_GB2312" w:cs="仿宋_GB2312"/>
          <w:sz w:val="32"/>
          <w:szCs w:val="32"/>
        </w:rPr>
        <w:t>的产业化开发及应用。</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优先主题四：新能源产业（20211404）</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重点支持</w:t>
      </w:r>
      <w:r>
        <w:rPr>
          <w:rFonts w:hint="eastAsia" w:ascii="仿宋_GB2312" w:hAnsi="仿宋" w:eastAsia="仿宋_GB2312" w:cs="宋体"/>
          <w:bCs/>
          <w:kern w:val="0"/>
          <w:sz w:val="32"/>
          <w:szCs w:val="32"/>
        </w:rPr>
        <w:t>太阳能高效利用技术、太阳能高效发电技术</w:t>
      </w:r>
      <w:bookmarkStart w:id="64" w:name="_Toc166642157"/>
      <w:bookmarkStart w:id="65" w:name="_Toc162083333"/>
      <w:bookmarkStart w:id="66" w:name="_Toc162079493"/>
      <w:bookmarkStart w:id="67" w:name="_Toc162079245"/>
      <w:bookmarkStart w:id="68" w:name="_Toc161825556"/>
      <w:bookmarkStart w:id="69" w:name="_Toc161825165"/>
      <w:bookmarkStart w:id="70" w:name="_Toc161819240"/>
      <w:bookmarkStart w:id="71" w:name="_Toc161818762"/>
      <w:bookmarkStart w:id="72" w:name="_Toc161816862"/>
      <w:bookmarkStart w:id="73" w:name="_Toc161815932"/>
      <w:bookmarkStart w:id="74" w:name="_Toc98120548"/>
      <w:bookmarkStart w:id="75" w:name="_Toc94434440"/>
      <w:bookmarkStart w:id="76" w:name="_Toc94429839"/>
      <w:r>
        <w:rPr>
          <w:rFonts w:hint="eastAsia" w:ascii="仿宋_GB2312" w:hAnsi="仿宋" w:eastAsia="仿宋_GB2312" w:cs="宋体"/>
          <w:bCs/>
          <w:kern w:val="0"/>
          <w:sz w:val="32"/>
          <w:szCs w:val="32"/>
        </w:rPr>
        <w:t>；风力发电装置、风电场配套技术</w:t>
      </w:r>
      <w:bookmarkEnd w:id="64"/>
      <w:bookmarkEnd w:id="65"/>
      <w:bookmarkEnd w:id="66"/>
      <w:bookmarkEnd w:id="67"/>
      <w:bookmarkEnd w:id="68"/>
      <w:bookmarkEnd w:id="69"/>
      <w:bookmarkEnd w:id="70"/>
      <w:bookmarkEnd w:id="71"/>
      <w:bookmarkEnd w:id="72"/>
      <w:bookmarkEnd w:id="73"/>
      <w:bookmarkEnd w:id="74"/>
      <w:bookmarkEnd w:id="75"/>
      <w:bookmarkEnd w:id="76"/>
      <w:bookmarkStart w:id="77" w:name="_Toc162083335"/>
      <w:bookmarkStart w:id="78" w:name="_Toc166642159"/>
      <w:bookmarkStart w:id="79" w:name="_Toc162079495"/>
      <w:bookmarkStart w:id="80" w:name="_Toc162079247"/>
      <w:bookmarkStart w:id="81" w:name="_Toc161825558"/>
      <w:bookmarkStart w:id="82" w:name="_Toc161825167"/>
      <w:bookmarkStart w:id="83" w:name="_Toc161819242"/>
      <w:bookmarkStart w:id="84" w:name="_Toc161818764"/>
      <w:bookmarkStart w:id="85" w:name="_Toc161816864"/>
      <w:bookmarkStart w:id="86" w:name="_Toc161815934"/>
      <w:bookmarkStart w:id="87" w:name="_Toc98120550"/>
      <w:bookmarkStart w:id="88" w:name="_Toc94434442"/>
      <w:bookmarkStart w:id="89" w:name="_Toc94429841"/>
      <w:r>
        <w:rPr>
          <w:rFonts w:hint="eastAsia" w:ascii="仿宋_GB2312" w:hAnsi="仿宋" w:eastAsia="仿宋_GB2312" w:cs="宋体"/>
          <w:bCs/>
          <w:kern w:val="0"/>
          <w:sz w:val="32"/>
          <w:szCs w:val="32"/>
        </w:rPr>
        <w:t>；节能装置、新型动力电池、高性能电池</w:t>
      </w:r>
      <w:bookmarkEnd w:id="77"/>
      <w:bookmarkEnd w:id="78"/>
      <w:bookmarkEnd w:id="79"/>
      <w:bookmarkEnd w:id="80"/>
      <w:bookmarkEnd w:id="81"/>
      <w:bookmarkEnd w:id="82"/>
      <w:bookmarkEnd w:id="83"/>
      <w:bookmarkEnd w:id="84"/>
      <w:bookmarkEnd w:id="85"/>
      <w:bookmarkEnd w:id="86"/>
      <w:bookmarkEnd w:id="87"/>
      <w:bookmarkEnd w:id="88"/>
      <w:bookmarkEnd w:id="89"/>
      <w:r>
        <w:rPr>
          <w:rFonts w:hint="eastAsia" w:ascii="仿宋_GB2312" w:hAnsi="仿宋_GB2312" w:eastAsia="仿宋_GB2312" w:cs="仿宋_GB2312"/>
          <w:sz w:val="32"/>
          <w:szCs w:val="32"/>
        </w:rPr>
        <w:t>等技术产品的产业化开发。</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优先主题五：节能环保产业（20211405）</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重点支持大气水污染监测与防治仪器设备、高能耗行业新工艺及节能技术、建筑节能技术和绿色建材、典型机电产品的节能技术、大宗工业固体废物污水污泥高值化和规模化综合利用技术等产业化开发及应用。</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优先主题六：</w:t>
      </w:r>
      <w:r>
        <w:rPr>
          <w:rFonts w:ascii="仿宋_GB2312" w:hAnsi="仿宋_GB2312" w:eastAsia="仿宋_GB2312" w:cs="仿宋_GB2312"/>
          <w:sz w:val="32"/>
          <w:szCs w:val="32"/>
        </w:rPr>
        <w:t xml:space="preserve"> </w:t>
      </w:r>
      <w:r>
        <w:rPr>
          <w:rFonts w:hint="eastAsia" w:ascii="楷体_GB2312" w:hAnsi="楷体_GB2312" w:eastAsia="楷体_GB2312" w:cs="楷体_GB2312"/>
          <w:b/>
          <w:sz w:val="32"/>
          <w:szCs w:val="32"/>
        </w:rPr>
        <w:t>现代农业产业（20211406）</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重点支持</w:t>
      </w:r>
      <w:r>
        <w:rPr>
          <w:rFonts w:hint="eastAsia" w:ascii="仿宋_GB2312" w:hAnsi="仿宋" w:eastAsia="仿宋_GB2312" w:cs="宋体"/>
          <w:bCs/>
          <w:kern w:val="0"/>
          <w:sz w:val="32"/>
          <w:szCs w:val="32"/>
        </w:rPr>
        <w:t>采用传统方法与现代生物技术相结合，引进、培育和推广应用主要动植物优新品种和专用型品种</w:t>
      </w:r>
      <w:r>
        <w:rPr>
          <w:rFonts w:hint="eastAsia" w:ascii="仿宋_GB2312" w:hAnsi="仿宋_GB2312" w:eastAsia="仿宋_GB2312" w:cs="仿宋_GB2312"/>
          <w:sz w:val="32"/>
          <w:szCs w:val="32"/>
        </w:rPr>
        <w:t>、农产品精深加工、农业生物技术、农业信息化和物联网技术及装备等产业化开发及应用。</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三、申报要求</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（一）成果来源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1.国家、省科技重大专项、重点研发计划等形成的重大科技成果；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2.获得国家、省部级科技奖励的重大科技成果；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3.两院院士、国家</w:t>
      </w:r>
      <w:r>
        <w:rPr>
          <w:rFonts w:hint="eastAsia" w:ascii="仿宋_GB2312" w:hAnsi="仿宋_GB2312" w:eastAsia="仿宋_GB2312" w:cs="仿宋_GB2312"/>
          <w:sz w:val="32"/>
          <w:szCs w:val="32"/>
          <w:lang w:eastAsia="zh-CN"/>
        </w:rPr>
        <w:t>人才</w:t>
      </w:r>
      <w:bookmarkStart w:id="90" w:name="_GoBack"/>
      <w:bookmarkEnd w:id="90"/>
      <w:r>
        <w:rPr>
          <w:rFonts w:hint="eastAsia" w:ascii="仿宋_GB2312" w:hAnsi="仿宋_GB2312" w:eastAsia="仿宋_GB2312" w:cs="仿宋_GB2312"/>
          <w:sz w:val="32"/>
          <w:szCs w:val="32"/>
        </w:rPr>
        <w:t>、国家“特支计划”等高端人才、团队研发的重大科技成果；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4.企业自主创新的重大科技成果；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5.产学研联合研发的重大科技成果；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6.京津冀联合研发的重大科技成果等。</w:t>
      </w:r>
    </w:p>
    <w:p>
      <w:pPr>
        <w:pStyle w:val="5"/>
        <w:widowControl/>
        <w:spacing w:line="560" w:lineRule="exact"/>
        <w:ind w:firstLine="643" w:firstLineChars="200"/>
        <w:rPr>
          <w:rFonts w:ascii="楷体_GB2312" w:hAnsi="楷体_GB2312" w:eastAsia="楷体_GB2312" w:cs="楷体_GB2312"/>
          <w:b/>
          <w:sz w:val="32"/>
          <w:szCs w:val="32"/>
        </w:rPr>
      </w:pPr>
      <w:r>
        <w:rPr>
          <w:rFonts w:ascii="楷体_GB2312" w:hAnsi="楷体_GB2312" w:eastAsia="楷体_GB2312" w:cs="楷体_GB2312"/>
          <w:b/>
          <w:sz w:val="32"/>
          <w:szCs w:val="32"/>
        </w:rPr>
        <w:t>（</w:t>
      </w:r>
      <w:r>
        <w:rPr>
          <w:rFonts w:hint="eastAsia" w:ascii="楷体_GB2312" w:hAnsi="楷体_GB2312" w:eastAsia="楷体_GB2312" w:cs="楷体_GB2312"/>
          <w:b/>
          <w:sz w:val="32"/>
          <w:szCs w:val="32"/>
        </w:rPr>
        <w:t>二</w:t>
      </w:r>
      <w:r>
        <w:rPr>
          <w:rFonts w:ascii="楷体_GB2312" w:hAnsi="楷体_GB2312" w:eastAsia="楷体_GB2312" w:cs="楷体_GB2312"/>
          <w:b/>
          <w:sz w:val="32"/>
          <w:szCs w:val="32"/>
        </w:rPr>
        <w:t>）</w:t>
      </w:r>
      <w:r>
        <w:rPr>
          <w:rFonts w:hint="eastAsia" w:ascii="楷体_GB2312" w:hAnsi="楷体_GB2312" w:eastAsia="楷体_GB2312" w:cs="楷体_GB2312"/>
          <w:b/>
          <w:sz w:val="32"/>
          <w:szCs w:val="32"/>
        </w:rPr>
        <w:t>申报项目的基本条件</w:t>
      </w:r>
    </w:p>
    <w:p>
      <w:pPr>
        <w:pStyle w:val="5"/>
        <w:widowControl/>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1.项目应在我市区域内实施转化，符合本专项定位要求，符合国家和省、市产业、技术政策，符合《指南》支持领域和方向。</w:t>
      </w:r>
    </w:p>
    <w:p>
      <w:pPr>
        <w:pStyle w:val="5"/>
        <w:widowControl/>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2.转化的成果应具有国际先进或国内领先水平、技术成熟度高，处于中试熟化、试生产或产业化初始阶段，拥有发明专利等知识产权，产权归属清晰，权利义务明确，没有法律纠纷。</w:t>
      </w:r>
    </w:p>
    <w:p>
      <w:pPr>
        <w:pStyle w:val="5"/>
        <w:widowControl/>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3.项目目标产品明确，附加值高、市场容量大、产业带动性强、经济效益和社会效益显著，完成后能够形成批量生产销售。</w:t>
      </w:r>
    </w:p>
    <w:p>
      <w:pPr>
        <w:pStyle w:val="5"/>
        <w:widowControl/>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4.涉及农业种业、安全生产等特种行业的，须拥有相关行业准入资格或许可。</w:t>
      </w:r>
    </w:p>
    <w:p>
      <w:pPr>
        <w:pStyle w:val="5"/>
        <w:widowControl/>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5.项目实施过程中应有明确的研发任务和创新目标，无实质性创新内容的单纯扩产量产、单纯技术研发项目不在支持范围。</w:t>
      </w:r>
    </w:p>
    <w:p>
      <w:pPr>
        <w:pStyle w:val="5"/>
        <w:widowControl/>
        <w:spacing w:line="560" w:lineRule="exact"/>
        <w:ind w:firstLine="643" w:firstLineChars="200"/>
        <w:rPr>
          <w:rFonts w:ascii="楷体_GB2312" w:hAnsi="楷体_GB2312" w:eastAsia="楷体_GB2312" w:cs="楷体_GB2312"/>
          <w:b/>
          <w:sz w:val="32"/>
          <w:szCs w:val="32"/>
        </w:rPr>
      </w:pPr>
      <w:r>
        <w:rPr>
          <w:rFonts w:ascii="楷体_GB2312" w:hAnsi="楷体_GB2312" w:eastAsia="楷体_GB2312" w:cs="楷体_GB2312"/>
          <w:b/>
          <w:sz w:val="32"/>
          <w:szCs w:val="32"/>
        </w:rPr>
        <w:t>（</w:t>
      </w:r>
      <w:r>
        <w:rPr>
          <w:rFonts w:hint="eastAsia" w:ascii="楷体_GB2312" w:hAnsi="楷体_GB2312" w:eastAsia="楷体_GB2312" w:cs="楷体_GB2312"/>
          <w:b/>
          <w:sz w:val="32"/>
          <w:szCs w:val="32"/>
        </w:rPr>
        <w:t>三</w:t>
      </w:r>
      <w:r>
        <w:rPr>
          <w:rFonts w:ascii="楷体_GB2312" w:hAnsi="楷体_GB2312" w:eastAsia="楷体_GB2312" w:cs="楷体_GB2312"/>
          <w:b/>
          <w:sz w:val="32"/>
          <w:szCs w:val="32"/>
        </w:rPr>
        <w:t>）申报单位的基本条件</w:t>
      </w:r>
    </w:p>
    <w:p>
      <w:pPr>
        <w:adjustRightInd w:val="0"/>
        <w:snapToGri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1.</w:t>
      </w:r>
      <w:r>
        <w:rPr>
          <w:rFonts w:ascii="仿宋_GB2312" w:eastAsia="仿宋_GB2312" w:cs="仿宋_GB2312"/>
          <w:kern w:val="0"/>
          <w:sz w:val="32"/>
          <w:szCs w:val="32"/>
        </w:rPr>
        <w:t>申报主体</w:t>
      </w:r>
      <w:r>
        <w:rPr>
          <w:rFonts w:hint="eastAsia" w:ascii="仿宋_GB2312" w:eastAsia="仿宋_GB2312" w:cs="仿宋_GB2312"/>
          <w:kern w:val="0"/>
          <w:sz w:val="32"/>
          <w:szCs w:val="32"/>
        </w:rPr>
        <w:t>应为双桥区、双滦区、鹰手营子矿区、承德高新区、御道口牧场管理区内具有独立法人资格的企业。高等学校、科研院所、企业等可作为协作单位参与承担项目。</w:t>
      </w:r>
    </w:p>
    <w:p>
      <w:pPr>
        <w:pStyle w:val="12"/>
        <w:widowControl/>
        <w:spacing w:line="560" w:lineRule="exact"/>
        <w:ind w:firstLine="640" w:firstLineChars="200"/>
        <w:rPr>
          <w:rFonts w:hint="default"/>
        </w:rPr>
      </w:pPr>
      <w:r>
        <w:t>2.申报企业应为省内同行业中的骨干企业或高成长性的科技型企业，具有研发产业化的良好基础条件。</w:t>
      </w:r>
    </w:p>
    <w:p>
      <w:pPr>
        <w:pStyle w:val="12"/>
        <w:widowControl/>
        <w:spacing w:line="560" w:lineRule="exact"/>
        <w:ind w:firstLine="640" w:firstLineChars="200"/>
        <w:rPr>
          <w:rFonts w:hint="default"/>
        </w:rPr>
      </w:pPr>
      <w:r>
        <w:t>3.申报企业资产及运营状态良好，具有较高的资信等级和相应的资金筹措能力，自筹资金应不低于专项资金申请额度的3倍。</w:t>
      </w:r>
    </w:p>
    <w:p>
      <w:pPr>
        <w:pStyle w:val="12"/>
        <w:widowControl/>
        <w:spacing w:line="560" w:lineRule="exact"/>
        <w:ind w:firstLine="640" w:firstLineChars="200"/>
        <w:rPr>
          <w:rFonts w:hint="default"/>
        </w:rPr>
      </w:pPr>
      <w:r>
        <w:t>4.如为合作申报项目，申报单位应与合作单位签订合作协议，明确合作分工任务、资金投入结构、知识产权归属等。</w:t>
      </w:r>
    </w:p>
    <w:p>
      <w:pPr>
        <w:pStyle w:val="12"/>
        <w:widowControl/>
        <w:spacing w:line="560" w:lineRule="exact"/>
        <w:ind w:firstLine="640" w:firstLineChars="200"/>
        <w:rPr>
          <w:rFonts w:hint="default"/>
        </w:rPr>
      </w:pPr>
      <w:r>
        <w:t>5.一个申报单位在本年度只能牵头申报一项重大科技成果转化项目。未完成重大科技成果转化项目验收的牵头单位，不得继续牵头申报。</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四、申报材料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项目申请书（一式六份）、企业前三年度（新办企业提供近1年或2年）会计报表、知识产权证明、合作协议、相关批件等附件。新办企业还需提供人才团队组成的相关资质证明。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请申报单位参阅《</w:t>
      </w:r>
      <w:r>
        <w:rPr>
          <w:rFonts w:hint="eastAsia" w:ascii="仿宋_GB2312" w:hAnsi="仿宋" w:eastAsia="仿宋_GB2312"/>
          <w:sz w:val="32"/>
          <w:szCs w:val="32"/>
        </w:rPr>
        <w:t>2021年度承德市重大科技成果转化项目申报指南</w:t>
      </w:r>
      <w:r>
        <w:rPr>
          <w:rFonts w:hint="eastAsia" w:ascii="仿宋_GB2312" w:hAnsi="仿宋_GB2312" w:eastAsia="仿宋_GB2312" w:cs="仿宋_GB2312"/>
          <w:sz w:val="32"/>
          <w:szCs w:val="32"/>
        </w:rPr>
        <w:t>》，合理安排填报时间，按时通过承德市科技计划项目管理平台填写并提交申报材料。申报书在线提交并经归口管理部门审核后，申报单位下载申报书电子版，用A4纸双面打印，与附件一并装订成册（加盖申报单位和归口管理部门公章）。</w:t>
      </w:r>
    </w:p>
    <w:p/>
    <w:sectPr>
      <w:headerReference r:id="rId5" w:type="first"/>
      <w:footerReference r:id="rId8" w:type="first"/>
      <w:headerReference r:id="rId3" w:type="default"/>
      <w:footerReference r:id="rId6" w:type="default"/>
      <w:headerReference r:id="rId4" w:type="even"/>
      <w:footerReference r:id="rId7" w:type="even"/>
      <w:pgSz w:w="11906" w:h="16838"/>
      <w:pgMar w:top="1134" w:right="1531" w:bottom="113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124400"/>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B4DEA"/>
    <w:rsid w:val="00016414"/>
    <w:rsid w:val="00023AFB"/>
    <w:rsid w:val="0002409C"/>
    <w:rsid w:val="00082229"/>
    <w:rsid w:val="000B6E07"/>
    <w:rsid w:val="000E4A92"/>
    <w:rsid w:val="001116DA"/>
    <w:rsid w:val="001411F0"/>
    <w:rsid w:val="001711A9"/>
    <w:rsid w:val="00193C22"/>
    <w:rsid w:val="001940E6"/>
    <w:rsid w:val="00196A59"/>
    <w:rsid w:val="00226FA2"/>
    <w:rsid w:val="0029431D"/>
    <w:rsid w:val="002A014F"/>
    <w:rsid w:val="002B4DEA"/>
    <w:rsid w:val="002B5386"/>
    <w:rsid w:val="002C6BEC"/>
    <w:rsid w:val="002D4CD8"/>
    <w:rsid w:val="00310621"/>
    <w:rsid w:val="00322F1B"/>
    <w:rsid w:val="00451CE9"/>
    <w:rsid w:val="004A278D"/>
    <w:rsid w:val="004B6FAC"/>
    <w:rsid w:val="004F5D1D"/>
    <w:rsid w:val="00531E9D"/>
    <w:rsid w:val="00540F80"/>
    <w:rsid w:val="005D0F1C"/>
    <w:rsid w:val="005D4303"/>
    <w:rsid w:val="00613A2B"/>
    <w:rsid w:val="00630FB0"/>
    <w:rsid w:val="0069015A"/>
    <w:rsid w:val="006F351A"/>
    <w:rsid w:val="00720EFB"/>
    <w:rsid w:val="0074593E"/>
    <w:rsid w:val="00756D82"/>
    <w:rsid w:val="00771A46"/>
    <w:rsid w:val="00783698"/>
    <w:rsid w:val="007B793C"/>
    <w:rsid w:val="007D1432"/>
    <w:rsid w:val="007E0C4B"/>
    <w:rsid w:val="00814F1C"/>
    <w:rsid w:val="008340C3"/>
    <w:rsid w:val="00887CAD"/>
    <w:rsid w:val="008A4E9A"/>
    <w:rsid w:val="008B6859"/>
    <w:rsid w:val="008D78E6"/>
    <w:rsid w:val="009060BD"/>
    <w:rsid w:val="009A297C"/>
    <w:rsid w:val="00AA1524"/>
    <w:rsid w:val="00AA295E"/>
    <w:rsid w:val="00AA2BED"/>
    <w:rsid w:val="00AB2D58"/>
    <w:rsid w:val="00AD42FD"/>
    <w:rsid w:val="00AF0FDD"/>
    <w:rsid w:val="00AF1E95"/>
    <w:rsid w:val="00AF304F"/>
    <w:rsid w:val="00B56542"/>
    <w:rsid w:val="00B8527C"/>
    <w:rsid w:val="00CE694E"/>
    <w:rsid w:val="00CF0AA3"/>
    <w:rsid w:val="00D23723"/>
    <w:rsid w:val="00D71EA2"/>
    <w:rsid w:val="00DA3CF4"/>
    <w:rsid w:val="00DC08A7"/>
    <w:rsid w:val="00DE05EC"/>
    <w:rsid w:val="00E544F1"/>
    <w:rsid w:val="00EB59A1"/>
    <w:rsid w:val="00EB6D00"/>
    <w:rsid w:val="00EC5F3A"/>
    <w:rsid w:val="00F14FB6"/>
    <w:rsid w:val="00F31824"/>
    <w:rsid w:val="00F4365E"/>
    <w:rsid w:val="00F46C39"/>
    <w:rsid w:val="00F76DC8"/>
    <w:rsid w:val="00FA35C5"/>
    <w:rsid w:val="00FC1BC3"/>
    <w:rsid w:val="00FE6112"/>
    <w:rsid w:val="00FF1063"/>
    <w:rsid w:val="15CE4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9"/>
    <w:qFormat/>
    <w:uiPriority w:val="9"/>
    <w:pPr>
      <w:keepNext/>
      <w:keepLines/>
      <w:spacing w:line="600" w:lineRule="exact"/>
      <w:jc w:val="center"/>
      <w:outlineLvl w:val="1"/>
    </w:pPr>
    <w:rPr>
      <w:rFonts w:ascii="Cambria" w:hAnsi="Cambria"/>
      <w:b/>
      <w:bCs/>
      <w:kern w:val="0"/>
      <w:sz w:val="44"/>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0"/>
    <w:rPr>
      <w:sz w:val="24"/>
      <w:szCs w:val="20"/>
    </w:rPr>
  </w:style>
  <w:style w:type="character" w:styleId="8">
    <w:name w:val="Strong"/>
    <w:basedOn w:val="7"/>
    <w:qFormat/>
    <w:uiPriority w:val="0"/>
    <w:rPr>
      <w:b/>
      <w:bCs/>
    </w:rPr>
  </w:style>
  <w:style w:type="character" w:customStyle="1" w:styleId="9">
    <w:name w:val="标题 2 Char"/>
    <w:basedOn w:val="7"/>
    <w:link w:val="2"/>
    <w:uiPriority w:val="9"/>
    <w:rPr>
      <w:rFonts w:ascii="Cambria" w:hAnsi="Cambria" w:eastAsia="宋体" w:cs="Times New Roman"/>
      <w:b/>
      <w:bCs/>
      <w:kern w:val="0"/>
      <w:sz w:val="44"/>
      <w:szCs w:val="32"/>
    </w:rPr>
  </w:style>
  <w:style w:type="character" w:customStyle="1" w:styleId="10">
    <w:name w:val="页眉 Char"/>
    <w:basedOn w:val="7"/>
    <w:link w:val="4"/>
    <w:uiPriority w:val="99"/>
    <w:rPr>
      <w:rFonts w:ascii="Times New Roman" w:hAnsi="Times New Roman" w:eastAsia="宋体" w:cs="Times New Roman"/>
      <w:sz w:val="18"/>
      <w:szCs w:val="18"/>
    </w:rPr>
  </w:style>
  <w:style w:type="character" w:customStyle="1" w:styleId="11">
    <w:name w:val="页脚 Char"/>
    <w:basedOn w:val="7"/>
    <w:link w:val="3"/>
    <w:uiPriority w:val="99"/>
    <w:rPr>
      <w:rFonts w:ascii="Times New Roman" w:hAnsi="Times New Roman" w:eastAsia="宋体" w:cs="Times New Roman"/>
      <w:sz w:val="18"/>
      <w:szCs w:val="18"/>
    </w:rPr>
  </w:style>
  <w:style w:type="paragraph" w:customStyle="1" w:styleId="12">
    <w:name w:val="p17"/>
    <w:basedOn w:val="1"/>
    <w:uiPriority w:val="0"/>
    <w:pPr>
      <w:ind w:firstLine="420"/>
    </w:pPr>
    <w:rPr>
      <w:rFonts w:hint="eastAsia" w:ascii="仿宋_GB2312" w:eastAsia="仿宋_GB2312" w:cs="仿宋_GB2312"/>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Company>
  <Pages>4</Pages>
  <Words>281</Words>
  <Characters>1605</Characters>
  <Lines>13</Lines>
  <Paragraphs>3</Paragraphs>
  <TotalTime>574</TotalTime>
  <ScaleCrop>false</ScaleCrop>
  <LinksUpToDate>false</LinksUpToDate>
  <CharactersWithSpaces>1883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2018-09-19T03:10:00Z</dcterms:created>
  <dc:creator>x</dc:creator>
  <cp:lastModifiedBy>Ziven</cp:lastModifiedBy>
  <cp:lastPrinted>2021-07-12T02:55:00Z</cp:lastPrinted>
  <dcterms:modified xsi:type="dcterms:W3CDTF">2022-03-24T11:02:47Z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278C97E3F26E4D87881CEA6C6A96662C</vt:lpwstr>
  </property>
</Properties>
</file>